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ind w:firstLine="54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This matter having come before the court via complaint seeking a Declaratory Judgment of compliance with the </w:t>
      </w:r>
      <w:r w:rsidDel="00000000" w:rsidR="00000000" w:rsidRPr="00000000">
        <w:rPr>
          <w:rFonts w:ascii="Courier New" w:cs="Courier New" w:eastAsia="Courier New" w:hAnsi="Courier New"/>
          <w:u w:val="single"/>
          <w:rtl w:val="0"/>
        </w:rPr>
        <w:t xml:space="preserve">Mount Laurel</w:t>
      </w:r>
      <w:r w:rsidDel="00000000" w:rsidR="00000000" w:rsidRPr="00000000">
        <w:rPr>
          <w:rFonts w:ascii="Courier New" w:cs="Courier New" w:eastAsia="Courier New" w:hAnsi="Courier New"/>
          <w:rtl w:val="0"/>
        </w:rPr>
        <w:t xml:space="preserve"> doctrine and New Jersey Fair Housing Act, </w:t>
      </w:r>
      <w:r w:rsidDel="00000000" w:rsidR="00000000" w:rsidRPr="00000000">
        <w:rPr>
          <w:rFonts w:ascii="Courier New" w:cs="Courier New" w:eastAsia="Courier New" w:hAnsi="Courier New"/>
          <w:u w:val="single"/>
          <w:rtl w:val="0"/>
        </w:rPr>
        <w:t xml:space="preserve">N.J.S.A.</w:t>
      </w:r>
      <w:r w:rsidDel="00000000" w:rsidR="00000000" w:rsidRPr="00000000">
        <w:rPr>
          <w:rFonts w:ascii="Courier New" w:cs="Courier New" w:eastAsia="Courier New" w:hAnsi="Courier New"/>
          <w:rtl w:val="0"/>
        </w:rPr>
        <w:t xml:space="preserve"> 52:27D-329.1 </w:t>
      </w:r>
      <w:r w:rsidDel="00000000" w:rsidR="00000000" w:rsidRPr="00000000">
        <w:rPr>
          <w:rFonts w:ascii="Courier New" w:cs="Courier New" w:eastAsia="Courier New" w:hAnsi="Courier New"/>
          <w:u w:val="single"/>
          <w:rtl w:val="0"/>
        </w:rPr>
        <w:t xml:space="preserve">et. seq.</w:t>
      </w:r>
      <w:r w:rsidDel="00000000" w:rsidR="00000000" w:rsidRPr="00000000">
        <w:rPr>
          <w:rFonts w:ascii="Courier New" w:cs="Courier New" w:eastAsia="Courier New" w:hAnsi="Courier New"/>
          <w:rtl w:val="0"/>
        </w:rPr>
        <w:t xml:space="preserve">, pursuant to the process established by </w:t>
      </w:r>
      <w:r w:rsidDel="00000000" w:rsidR="00000000" w:rsidRPr="00000000">
        <w:rPr>
          <w:rFonts w:ascii="Courier New" w:cs="Courier New" w:eastAsia="Courier New" w:hAnsi="Courier New"/>
          <w:u w:val="single"/>
          <w:rtl w:val="0"/>
        </w:rPr>
        <w:t xml:space="preserve">In re N.J.A.C. 5:96 and 5:97</w:t>
      </w:r>
      <w:r w:rsidDel="00000000" w:rsidR="00000000" w:rsidRPr="00000000">
        <w:rPr>
          <w:rFonts w:ascii="Courier New" w:cs="Courier New" w:eastAsia="Courier New" w:hAnsi="Courier New"/>
          <w:rtl w:val="0"/>
        </w:rPr>
        <w:t xml:space="preserve">, 221 </w:t>
      </w:r>
      <w:r w:rsidDel="00000000" w:rsidR="00000000" w:rsidRPr="00000000">
        <w:rPr>
          <w:rFonts w:ascii="Courier New" w:cs="Courier New" w:eastAsia="Courier New" w:hAnsi="Courier New"/>
          <w:u w:val="single"/>
          <w:rtl w:val="0"/>
        </w:rPr>
        <w:t xml:space="preserve">N.J.</w:t>
      </w:r>
      <w:r w:rsidDel="00000000" w:rsidR="00000000" w:rsidRPr="00000000">
        <w:rPr>
          <w:rFonts w:ascii="Courier New" w:cs="Courier New" w:eastAsia="Courier New" w:hAnsi="Courier New"/>
          <w:rtl w:val="0"/>
        </w:rPr>
        <w:t xml:space="preserve"> 1 (2015) ( “</w:t>
      </w:r>
      <w:r w:rsidDel="00000000" w:rsidR="00000000" w:rsidRPr="00000000">
        <w:rPr>
          <w:rFonts w:ascii="Courier New" w:cs="Courier New" w:eastAsia="Courier New" w:hAnsi="Courier New"/>
          <w:u w:val="single"/>
          <w:rtl w:val="0"/>
        </w:rPr>
        <w:t xml:space="preserve">Mount Laurel IV</w:t>
      </w:r>
      <w:r w:rsidDel="00000000" w:rsidR="00000000" w:rsidRPr="00000000">
        <w:rPr>
          <w:rFonts w:ascii="Courier New" w:cs="Courier New" w:eastAsia="Courier New" w:hAnsi="Courier New"/>
          <w:rtl w:val="0"/>
        </w:rPr>
        <w:t xml:space="preserve">”), including determination of plaintiff {name of municipality} (Municipality’s) fair share obligations; and the parties to this matter recognizing that an important function historically performed by the Council on Affordable Housing (COAH) is setting income limits for each of the COAH housing regions, which are used to determine eligibility for affordable housing, and setting rent increases for existing affordable housing; and COAH having not published income limits or rent increases since 2014; and the Court finding it necessary to establish income limits and rent increase information to comply with the directives of the Fair Housing Act, and to more generally ensure the implementation of municipalities’ constitutional obligations through the availability of existing affordable housing and new affordable housing constructed through the court compliance process pursuant to </w:t>
      </w:r>
      <w:r w:rsidDel="00000000" w:rsidR="00000000" w:rsidRPr="00000000">
        <w:rPr>
          <w:rFonts w:ascii="Courier New" w:cs="Courier New" w:eastAsia="Courier New" w:hAnsi="Courier New"/>
          <w:u w:val="single"/>
          <w:rtl w:val="0"/>
        </w:rPr>
        <w:t xml:space="preserve">Mount Laurel IV</w:t>
      </w:r>
      <w:r w:rsidDel="00000000" w:rsidR="00000000" w:rsidRPr="00000000">
        <w:rPr>
          <w:rFonts w:ascii="Courier New" w:cs="Courier New" w:eastAsia="Courier New" w:hAnsi="Courier New"/>
          <w:rtl w:val="0"/>
        </w:rPr>
        <w:t xml:space="preserve"> to qualified individuals; and </w:t>
      </w:r>
      <w:r w:rsidDel="00000000" w:rsidR="00000000" w:rsidRPr="00000000">
        <w:rPr>
          <w:rFonts w:ascii="Courier New" w:cs="Courier New" w:eastAsia="Courier New" w:hAnsi="Courier New"/>
          <w:u w:val="single"/>
          <w:rtl w:val="0"/>
        </w:rPr>
        <w:t xml:space="preserve">Mount Laurel IV</w:t>
      </w:r>
      <w:r w:rsidDel="00000000" w:rsidR="00000000" w:rsidRPr="00000000">
        <w:rPr>
          <w:rFonts w:ascii="Courier New" w:cs="Courier New" w:eastAsia="Courier New" w:hAnsi="Courier New"/>
          <w:rtl w:val="0"/>
        </w:rPr>
        <w:t xml:space="preserve"> having directed trial courts to adhere to the First and Second Round rules and aspects to the two earlier versions of the Third Round rules that were found valid by the appellate courts; and the parties and Court thus having deemed it appropriate to establish income limits and rent increases based on COAH’s established practice for setting such income limits and rent increases, and to empower municipalities to update such income limits and rent increases on an annual basis themselves based on the process historically used by COAH;</w:t>
      </w:r>
    </w:p>
    <w:p w:rsidR="00000000" w:rsidDel="00000000" w:rsidP="00000000" w:rsidRDefault="00000000" w:rsidRPr="00000000">
      <w:pPr>
        <w:spacing w:line="480" w:lineRule="auto"/>
        <w:ind w:firstLine="540"/>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IT IS on this _____________ day of _________, 2017 ORDERED as follows:  </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1.</w:t>
        <w:tab/>
        <w:t xml:space="preserve">Income limits for all units that are part of the Municipality’s Housing Element and Fair Share Plan and for which income limits are not already established through a federal program exempted from the Uniform Housing Affordability Controls pursuant to N.J.A.C. 5:80-26.1 shall be updated by the Municipality annually within 60 days of the publication of determinations of median income by HUD as follows:</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ind w:firstLine="54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(a)</w:t>
        <w:tab/>
        <w:t xml:space="preserve">Regional income limits shall be established for the region that the Municipality is located within based on the median income by household size, which shall be established by a regional weighted average of the uncapped Section 8 income limits published by HUD. To compute this regional income limit, the HUD determination of median county income for a family of four is multiplied by the estimated households within the county according to the most recent decennial Census. The resulting product for each county within the housing region is summed. The sum is divided by the estimated total households from the most recent decennial Census in the Municipality’s housing region. This quotient represents the regional weighted average of median income for a household of four.</w:t>
      </w:r>
    </w:p>
    <w:p w:rsidR="00000000" w:rsidDel="00000000" w:rsidP="00000000" w:rsidRDefault="00000000" w:rsidRPr="00000000">
      <w:pPr>
        <w:spacing w:line="480" w:lineRule="auto"/>
        <w:ind w:firstLine="54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The income limit for a moderate-income unit for a household of four shall be 80 percent of the regional weighted average median income for a family of four.  The income limit for a low-income unit for a household of four shall be 50 percent of the HUD determination of the regional weighted average median income for a family of four.  The income limit for a very low income unit for a household of four shall be 30 percent of the regional weighted average median income for a family of four.  These income limits shall be adjusted by household size based on multipliers used by HUD to adjust median income by household size.  In no event shall the income limits be less than those for the previous year.</w:t>
      </w:r>
    </w:p>
    <w:p w:rsidR="00000000" w:rsidDel="00000000" w:rsidP="00000000" w:rsidRDefault="00000000" w:rsidRPr="00000000">
      <w:pPr>
        <w:spacing w:line="480" w:lineRule="auto"/>
        <w:ind w:firstLine="540"/>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(b)</w:t>
        <w:tab/>
        <w:t xml:space="preserve">The income limits attached hereto are the result of applying the percentages set forth in paragraph (a) above to HUD's determination of median income for FY 2017, and shall be utilized until the Municipality updates the income limits after HUD has published revised determinations of median income for the next fiscal year.</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(c) The Regional Asset Limit used in determining an applicant's eligibility for affordable housing pursuant to N.J.A.C. 5:80-26.16(b)3 shall be calculated by the Municipality annually by taking the percentage increase of the income limits calculated pursuant to paragraph (a) above over the previous year’s income limits, and applying the same percentage increase to the Regional Asset Limit from the prior year. In no event shall the Regional Asset Limit be less than that for the previous year.</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2.</w:t>
        <w:tab/>
        <w:t xml:space="preserve">In establishing sale prices and rents of affordable housing units, the administrative agent shall follow the procedures set forth in UHAC, utilizing the regional income limits established pursuant to the process defined above:</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(a)</w:t>
        <w:tab/>
        <w:t xml:space="preserve">The resale prices of owner-occupied low- and moderate-income units may increase annually based on the percentage increase in the regional median income limit for each housing region determined pursuant to paragraph 1. above.  In no event shall the maximum resale price established by the administrative agent be lower than the last recorded purchase price.</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(b)</w:t>
        <w:tab/>
        <w:t xml:space="preserve">The rent levels of very-low-, low- and moderate-income units may be increased annually based on the percentage increase in the Housing Consumer Price Index for the Northeast Urban Area, upon its publication for the prior calendar year.  This increase shall not exceed nine percent in any one year.  Rents for units constructed pursuant to low income housing tax credit regulations shall be indexed pursuant to the regulations governing low income housing tax credits.</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3.   Counsel for the Municipality shall forward a copy of this Order to all parties of record within five (5) days of receipt.  </w:t>
      </w:r>
    </w:p>
    <w:p w:rsidR="00000000" w:rsidDel="00000000" w:rsidP="00000000" w:rsidRDefault="00000000" w:rsidRPr="00000000">
      <w:pPr>
        <w:spacing w:after="120" w:line="480" w:lineRule="auto"/>
        <w:ind w:left="3240" w:firstLine="540"/>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after="120"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ab/>
        <w:tab/>
        <w:t xml:space="preserve">___________________________</w:t>
      </w:r>
    </w:p>
    <w:p w:rsidR="00000000" w:rsidDel="00000000" w:rsidP="00000000" w:rsidRDefault="00000000" w:rsidRPr="00000000">
      <w:pPr>
        <w:spacing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ab/>
        <w:t xml:space="preserve">Hon. {Name of Judge}</w:t>
      </w:r>
    </w:p>
    <w:p w:rsidR="00000000" w:rsidDel="00000000" w:rsidP="00000000" w:rsidRDefault="00000000" w:rsidRPr="00000000">
      <w:pPr>
        <w:spacing w:after="120"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after="120" w:line="48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spacing w:after="120"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APPROVED AS TO FORM AND CONTENT</w:t>
      </w:r>
    </w:p>
    <w:p w:rsidR="00000000" w:rsidDel="00000000" w:rsidP="00000000" w:rsidRDefault="00000000" w:rsidRPr="00000000">
      <w:pPr>
        <w:spacing w:after="120" w:line="48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[CONSENT ORDER FORMAT WITH SIGNATURES OF COUNSEL FOR PARTIES]</w:t>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SAMPLE--NOT INTENDED AS LEGAL ADVICE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